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right="-99" w:rightChars="-47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3" w:name="_GoBack"/>
      <w:bookmarkEnd w:id="3"/>
      <w:r>
        <w:rPr>
          <w:rFonts w:hint="eastAsia" w:ascii="黑体" w:hAnsi="黑体" w:eastAsia="黑体" w:cs="黑体"/>
          <w:sz w:val="32"/>
          <w:szCs w:val="32"/>
          <w:lang w:val="en"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spacing w:line="640" w:lineRule="exact"/>
        <w:ind w:right="-99" w:rightChars="-47"/>
        <w:jc w:val="center"/>
        <w:rPr>
          <w:rFonts w:ascii="方正小标宋_GBK" w:hAnsi="华文中宋" w:eastAsia="方正小标宋_GBK" w:cs="Times New Roman"/>
          <w:bCs/>
          <w:sz w:val="44"/>
          <w:szCs w:val="44"/>
        </w:rPr>
      </w:pPr>
      <w:r>
        <w:rPr>
          <w:rFonts w:hint="eastAsia" w:ascii="方正小标宋_GBK" w:hAnsi="华文中宋" w:eastAsia="方正小标宋_GBK" w:cs="Times New Roman"/>
          <w:sz w:val="44"/>
          <w:szCs w:val="44"/>
        </w:rPr>
        <w:t>全省生物防火林带建设</w:t>
      </w:r>
      <w:r>
        <w:rPr>
          <w:rFonts w:hint="eastAsia" w:ascii="方正小标宋_GBK" w:hAnsi="华文中宋" w:eastAsia="方正小标宋_GBK" w:cs="Times New Roman"/>
          <w:bCs/>
          <w:sz w:val="44"/>
          <w:szCs w:val="44"/>
        </w:rPr>
        <w:t>实施方案</w:t>
      </w:r>
    </w:p>
    <w:p>
      <w:pPr>
        <w:spacing w:line="640" w:lineRule="exact"/>
        <w:rPr>
          <w:rFonts w:ascii="仿宋_GB2312" w:hAnsi="仿宋" w:eastAsia="仿宋_GB2312" w:cs="Times New Roman"/>
          <w:sz w:val="32"/>
          <w:szCs w:val="32"/>
        </w:rPr>
      </w:pPr>
    </w:p>
    <w:p>
      <w:pPr>
        <w:adjustRightInd w:val="0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为保质保量完成省级生物防火林带补助资金建设任务，特制定本实施方案。</w:t>
      </w:r>
    </w:p>
    <w:p>
      <w:pPr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一、规划设计要求</w:t>
      </w:r>
    </w:p>
    <w:p>
      <w:pPr>
        <w:adjustRightInd w:val="0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（一）布局原则</w:t>
      </w:r>
      <w:r>
        <w:rPr>
          <w:rFonts w:hint="eastAsia" w:ascii="仿宋_GB2312" w:hAnsi="仿宋" w:eastAsia="仿宋_GB2312" w:cs="仿宋_GB2312"/>
          <w:sz w:val="32"/>
          <w:szCs w:val="32"/>
        </w:rPr>
        <w:t>：</w:t>
      </w:r>
      <w:bookmarkStart w:id="0" w:name="_Toc176660692"/>
      <w:bookmarkStart w:id="1" w:name="_Toc224102899"/>
      <w:bookmarkStart w:id="2" w:name="_Toc160244311"/>
      <w:r>
        <w:rPr>
          <w:rFonts w:hint="eastAsia" w:ascii="仿宋_GB2312" w:hAnsi="仿宋" w:eastAsia="仿宋_GB2312" w:cs="仿宋_GB2312"/>
          <w:b/>
          <w:sz w:val="32"/>
          <w:szCs w:val="32"/>
        </w:rPr>
        <w:t>一是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因害设防、突出重点原则。</w:t>
      </w:r>
      <w:r>
        <w:rPr>
          <w:rFonts w:hint="eastAsia" w:ascii="仿宋_GB2312" w:hAnsi="仿宋" w:eastAsia="仿宋_GB2312" w:cs="Times New Roman"/>
          <w:sz w:val="32"/>
          <w:szCs w:val="32"/>
        </w:rPr>
        <w:t>优先配置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林区火灾易发、多发区域及自然保护区、森林公园外围等重点部位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  <w:r>
        <w:rPr>
          <w:rFonts w:hint="eastAsia" w:ascii="仿宋_GB2312" w:hAnsi="仿宋" w:eastAsia="仿宋_GB2312" w:cs="Times New Roman"/>
          <w:b/>
          <w:bCs/>
          <w:sz w:val="32"/>
          <w:szCs w:val="32"/>
        </w:rPr>
        <w:t>二是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因地制宜、适地适树原则。</w:t>
      </w:r>
      <w:r>
        <w:rPr>
          <w:rFonts w:hint="eastAsia" w:ascii="仿宋_GB2312" w:hAnsi="仿宋" w:eastAsia="仿宋_GB2312" w:cs="Times New Roman"/>
          <w:sz w:val="32"/>
          <w:szCs w:val="32"/>
        </w:rPr>
        <w:t>树种选择既要充分考量其阻火功效，又要确保其适应当地自然条件，正常生长。</w:t>
      </w:r>
      <w:r>
        <w:rPr>
          <w:rFonts w:hint="eastAsia" w:ascii="仿宋_GB2312" w:hAnsi="仿宋" w:eastAsia="仿宋_GB2312" w:cs="Times New Roman"/>
          <w:b/>
          <w:sz w:val="32"/>
          <w:szCs w:val="32"/>
        </w:rPr>
        <w:t>三是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防火为主、效益兼顾原则。</w:t>
      </w:r>
      <w:r>
        <w:rPr>
          <w:rFonts w:hint="eastAsia" w:ascii="仿宋_GB2312" w:hAnsi="仿宋" w:eastAsia="仿宋_GB2312" w:cs="Times New Roman"/>
          <w:sz w:val="32"/>
          <w:szCs w:val="32"/>
        </w:rPr>
        <w:t>鼓励在山脚林田交界地段营造常绿、耐火、抗火、速生的生态经济型防火林带，如油茶、杨梅等。</w:t>
      </w:r>
      <w:r>
        <w:rPr>
          <w:rFonts w:hint="eastAsia" w:ascii="仿宋_GB2312" w:hAnsi="仿宋" w:eastAsia="仿宋_GB2312" w:cs="Times New Roman"/>
          <w:b/>
          <w:sz w:val="32"/>
          <w:szCs w:val="32"/>
        </w:rPr>
        <w:t>四是</w:t>
      </w:r>
      <w:r>
        <w:rPr>
          <w:rFonts w:hint="eastAsia" w:ascii="仿宋_GB2312" w:hAnsi="仿宋" w:eastAsia="仿宋_GB2312" w:cs="Times New Roman"/>
          <w:sz w:val="32"/>
          <w:szCs w:val="32"/>
        </w:rPr>
        <w:t>因势导利，合理利用原则。依地形地势，利用林区防火道路、江河水域的防火效能，可结合生物防火林带规划设计生物防火隔离带。</w:t>
      </w:r>
    </w:p>
    <w:p>
      <w:pPr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（二）布局重点</w:t>
      </w:r>
      <w:r>
        <w:rPr>
          <w:rFonts w:hint="eastAsia" w:ascii="仿宋_GB2312" w:hAnsi="仿宋" w:eastAsia="仿宋_GB2312" w:cs="Times New Roman"/>
          <w:sz w:val="32"/>
          <w:szCs w:val="32"/>
        </w:rPr>
        <w:t>：按照</w:t>
      </w:r>
      <w:r>
        <w:rPr>
          <w:rFonts w:hint="eastAsia" w:ascii="仿宋_GB2312" w:eastAsia="仿宋_GB2312"/>
          <w:sz w:val="32"/>
          <w:szCs w:val="32"/>
        </w:rPr>
        <w:t>《江西省森林防火规划（2017-2025年）》</w:t>
      </w:r>
      <w:r>
        <w:rPr>
          <w:rFonts w:hint="eastAsia" w:ascii="仿宋_GB2312" w:hAnsi="仿宋_GB2312" w:eastAsia="仿宋_GB2312" w:cs="仿宋_GB2312"/>
          <w:sz w:val="32"/>
          <w:szCs w:val="32"/>
        </w:rPr>
        <w:t>和县级生物防火林带规划要求，</w:t>
      </w:r>
      <w:r>
        <w:rPr>
          <w:rFonts w:hint="eastAsia" w:ascii="仿宋_GB2312" w:hAnsi="仿宋" w:eastAsia="仿宋_GB2312" w:cs="Times New Roman"/>
          <w:sz w:val="32"/>
          <w:szCs w:val="32"/>
        </w:rPr>
        <w:t>根据林地条件、防火需求，研究确定规划设计方案，优先安排布设在</w:t>
      </w: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村边、路边、田边、坟边和重要设施周边“五边”区域，有条件的可以搞林内的林带网格。</w:t>
      </w:r>
    </w:p>
    <w:bookmarkEnd w:id="0"/>
    <w:bookmarkEnd w:id="1"/>
    <w:bookmarkEnd w:id="2"/>
    <w:p>
      <w:pPr>
        <w:adjustRightInd w:val="0"/>
        <w:ind w:firstLine="640" w:firstLineChars="200"/>
        <w:rPr>
          <w:rFonts w:ascii="仿宋_GB2312" w:hAnsi="仿宋" w:eastAsia="仿宋_GB2312" w:cs="Times New Roman"/>
          <w:bCs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（三）编制作业设计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。每年生物防火林带建设任务须编制作业设计，内容包括面积测量、造林营林技术措施设计、图纸绘制、说明书编写等。作业设计须盖本级林业主管部门公章，报</w:t>
      </w:r>
      <w:r>
        <w:rPr>
          <w:rFonts w:hint="eastAsia" w:ascii="仿宋_GB2312" w:hAnsi="仿宋" w:eastAsia="仿宋_GB2312" w:cs="Times New Roman"/>
          <w:bCs/>
          <w:sz w:val="32"/>
          <w:szCs w:val="32"/>
          <w:lang w:eastAsia="zh-CN"/>
        </w:rPr>
        <w:t>设区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市林业主管部门备案。</w:t>
      </w:r>
    </w:p>
    <w:p>
      <w:pPr>
        <w:adjustRightInd w:val="0"/>
        <w:ind w:firstLine="640" w:firstLineChars="200"/>
        <w:rPr>
          <w:rFonts w:ascii="仿宋_GB2312" w:hAnsi="仿宋" w:eastAsia="仿宋_GB2312" w:cs="Times New Roman"/>
          <w:bCs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（四）组织施工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。各级林业主管部门须提前落实有丰富营造林经验的施工队伍，并签订施工合同书，明确施工方责任与权益。</w:t>
      </w:r>
    </w:p>
    <w:p>
      <w:pPr>
        <w:ind w:firstLine="640" w:firstLineChars="20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二、造林要求</w:t>
      </w:r>
    </w:p>
    <w:p>
      <w:pPr>
        <w:ind w:firstLine="640" w:firstLineChars="200"/>
        <w:rPr>
          <w:rFonts w:hint="default" w:ascii="仿宋_GB2312" w:hAnsi="仿宋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bCs/>
          <w:sz w:val="32"/>
          <w:szCs w:val="32"/>
        </w:rPr>
        <w:t>生物防火林带建设须</w:t>
      </w:r>
      <w:r>
        <w:rPr>
          <w:rFonts w:hint="eastAsia" w:ascii="仿宋_GB2312" w:hAnsi="仿宋" w:eastAsia="仿宋_GB2312" w:cs="Times New Roman"/>
          <w:bCs/>
          <w:sz w:val="32"/>
          <w:szCs w:val="32"/>
          <w:lang w:eastAsia="zh-CN"/>
        </w:rPr>
        <w:t>实行工程造林管理，做到规划设计、质量跟踪、资金保证、检查验收“四同步”。</w:t>
      </w:r>
    </w:p>
    <w:p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（一）造林宽度</w:t>
      </w:r>
      <w:r>
        <w:rPr>
          <w:rFonts w:hint="eastAsia" w:ascii="仿宋_GB2312" w:hAnsi="仿宋" w:eastAsia="仿宋_GB2312" w:cs="仿宋_GB2312"/>
          <w:sz w:val="32"/>
          <w:szCs w:val="32"/>
        </w:rPr>
        <w:t>：根据地形地势等环境条件，林带宽度（水平）原则上10-20米，要求宽度相对均匀，集中连片面积原则上不少于30亩。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如原有的生物防火林带宽度不够，可通过补植进行加宽，补植的面积可列入任务。营造生物防火隔离带的，林带通道和林带宽度之和为10-20米，林带通道(含硬化和未硬化道路)的宽度不少于3.5米，其中新建的林带通道和林带面积可列入生物防火林带任务。</w:t>
      </w:r>
    </w:p>
    <w:p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（二）树种选择</w:t>
      </w:r>
      <w:r>
        <w:rPr>
          <w:rFonts w:hint="eastAsia" w:ascii="仿宋_GB2312" w:hAnsi="仿宋" w:eastAsia="仿宋_GB2312" w:cs="仿宋_GB2312"/>
          <w:sz w:val="32"/>
          <w:szCs w:val="32"/>
        </w:rPr>
        <w:t>：以木荷、油茶为主，也可选择火力楠、杜英、米老排、杨梅、柑桔、茶叶、灰木莲、冬青、青冈栎等生长快、抗火性强的树种。</w:t>
      </w:r>
    </w:p>
    <w:p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（三）种植密度</w:t>
      </w:r>
      <w:r>
        <w:rPr>
          <w:rFonts w:hint="eastAsia" w:ascii="仿宋_GB2312" w:hAnsi="仿宋" w:eastAsia="仿宋_GB2312" w:cs="仿宋_GB2312"/>
          <w:sz w:val="32"/>
          <w:szCs w:val="32"/>
        </w:rPr>
        <w:t>：木荷、火力楠等乔木树种造林密度为167-200株/亩，株行距为2m×2m－1.82m×1.82m；油茶造林密度为100-150株/亩，株行距为2.4m×2.8－2.2m ×2.0m；杨梅造林密度为60-80株/亩，株行距为3.3m×3.4m－2.8m×2.9m。</w:t>
      </w:r>
      <w:r>
        <w:rPr>
          <w:rFonts w:hint="eastAsia" w:ascii="仿宋_GB2312" w:hAnsi="仿宋" w:eastAsia="仿宋_GB2312" w:cs="Times New Roman"/>
          <w:sz w:val="32"/>
          <w:szCs w:val="32"/>
        </w:rPr>
        <w:t>其他树种参照造林技术规程营造。</w:t>
      </w:r>
    </w:p>
    <w:p>
      <w:pPr>
        <w:ind w:firstLine="640" w:firstLineChars="200"/>
        <w:rPr>
          <w:rFonts w:ascii="仿宋_GB2312" w:hAnsi="仿宋" w:eastAsia="仿宋_GB2312" w:cs="Times New Roman"/>
          <w:b/>
          <w:bCs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（四）清杂整地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：</w:t>
      </w:r>
      <w:r>
        <w:rPr>
          <w:rFonts w:hint="eastAsia" w:ascii="仿宋_GB2312" w:hAnsi="仿宋" w:eastAsia="仿宋_GB2312" w:cs="Times New Roman"/>
          <w:sz w:val="32"/>
          <w:szCs w:val="32"/>
        </w:rPr>
        <w:t>对林地进行全面清理，采用块状整地、穴状造林，</w:t>
      </w:r>
      <w:r>
        <w:rPr>
          <w:rFonts w:hint="eastAsia" w:ascii="仿宋_GB2312" w:hAnsi="仿宋" w:eastAsia="仿宋_GB2312" w:cs="Helvetica"/>
          <w:kern w:val="0"/>
          <w:sz w:val="32"/>
          <w:szCs w:val="32"/>
        </w:rPr>
        <w:t>施基肥，回表土</w:t>
      </w:r>
      <w:r>
        <w:rPr>
          <w:rFonts w:hint="eastAsia" w:ascii="仿宋_GB2312" w:hAnsi="仿宋" w:eastAsia="仿宋_GB2312" w:cs="Times New Roman"/>
          <w:sz w:val="32"/>
          <w:szCs w:val="32"/>
        </w:rPr>
        <w:t>。植穴规格根据立地条件一般采用50cm×50cm×40cm，经济林采用60cm×60cm×50cm，容器苗适当减小挖穴规格。</w:t>
      </w:r>
    </w:p>
    <w:p>
      <w:pPr>
        <w:adjustRightInd w:val="0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（五）苗木种植</w:t>
      </w:r>
      <w:r>
        <w:rPr>
          <w:rFonts w:hint="eastAsia" w:ascii="仿宋_GB2312" w:hAnsi="仿宋" w:eastAsia="仿宋_GB2312" w:cs="仿宋_GB2312"/>
          <w:sz w:val="32"/>
          <w:szCs w:val="32"/>
        </w:rPr>
        <w:t>：</w:t>
      </w:r>
      <w:r>
        <w:rPr>
          <w:rFonts w:hint="eastAsia" w:ascii="仿宋_GB2312" w:hAnsi="仿宋" w:eastAsia="仿宋_GB2312" w:cs="Times New Roman"/>
          <w:sz w:val="32"/>
          <w:szCs w:val="32"/>
        </w:rPr>
        <w:t>采用Ⅰ级良种大苗或容器苗，执行国家标准《主要造林树种苗木质量分级》（GB6000－1999）的规定，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栽植时苗木应居中栽植，适当深栽，做到根舒、苗正、压实。</w:t>
      </w:r>
    </w:p>
    <w:p>
      <w:pPr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（六）抚育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：</w:t>
      </w:r>
      <w:r>
        <w:rPr>
          <w:rFonts w:hint="eastAsia" w:ascii="仿宋_GB2312" w:hAnsi="仿宋" w:eastAsia="仿宋_GB2312" w:cs="Times New Roman"/>
          <w:sz w:val="32"/>
          <w:szCs w:val="32"/>
        </w:rPr>
        <w:t>造林后应坚持连续抚育三年</w:t>
      </w:r>
      <w:r>
        <w:rPr>
          <w:rFonts w:hint="eastAsia" w:ascii="仿宋_GB2312" w:hAnsi="仿宋" w:eastAsia="仿宋_GB2312" w:cs="Helvetica"/>
          <w:kern w:val="0"/>
          <w:sz w:val="32"/>
          <w:szCs w:val="32"/>
        </w:rPr>
        <w:t>共5次，造林当年1次，第二、三年各2次。</w:t>
      </w:r>
      <w:r>
        <w:rPr>
          <w:rFonts w:hint="eastAsia" w:ascii="仿宋_GB2312" w:hAnsi="仿宋" w:eastAsia="仿宋_GB2312" w:cs="Times New Roman"/>
          <w:sz w:val="32"/>
          <w:szCs w:val="32"/>
        </w:rPr>
        <w:t>第一年8—9月全锄1次，深度10cm并挖掉大茅根及10cm以下杂灌根，后两年每年4-5月、8-9月劈草或全锄1次。经济林带可结合抚育施肥与修剪，以促进幼苗幼树生长，尽快发挥防火作用。林带郁闭后，每2-3年适当清除林下枯枝凋落物。新建型生物防火林带，应对成活率不合格的地段及时进行补植，应于造林后的第2年或第3年用同龄大苗补植。补植后林分密度应不小于幼林的最低密度。</w:t>
      </w:r>
    </w:p>
    <w:p>
      <w:pPr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三、建立技术档案</w:t>
      </w:r>
    </w:p>
    <w:p>
      <w:pPr>
        <w:adjustRightInd w:val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在营造林完成后，应建立造林经营管理技术档案，内容包括林带基本情况（营造地点、树种、长度、宽度）、造林经营各项工作的作业时间、造林质量、投工、投资以及林带生长情况，病虫害防治等有关项目。</w:t>
      </w:r>
    </w:p>
    <w:sectPr>
      <w:footerReference r:id="rId3" w:type="default"/>
      <w:footerReference r:id="rId4" w:type="even"/>
      <w:pgSz w:w="11906" w:h="16838"/>
      <w:pgMar w:top="1984" w:right="1531" w:bottom="1814" w:left="1531" w:header="851" w:footer="1587" w:gutter="0"/>
      <w:pgNumType w:fmt="decimal" w:start="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Latha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ind w:left="210" w:leftChars="100" w:right="210" w:rightChars="100"/>
                            <w:rPr>
                              <w:rStyle w:val="6"/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ascii="宋体" w:hAnsi="宋体" w:eastAsia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Style w:val="6"/>
                              <w:rFonts w:ascii="宋体" w:hAnsi="宋体" w:eastAsia="宋体" w:cs="Tahom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 w:eastAsia="宋体" w:cs="Tahoma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6"/>
                              <w:rFonts w:ascii="宋体" w:hAnsi="宋体" w:eastAsia="宋体" w:cs="Tahom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 w:eastAsia="宋体" w:cs="Tahoma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Style w:val="6"/>
                              <w:rFonts w:ascii="宋体" w:hAnsi="宋体" w:eastAsia="宋体" w:cs="Tahom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ascii="宋体" w:hAnsi="宋体" w:eastAsia="宋体" w:cs="Tahom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ascii="宋体" w:hAnsi="宋体" w:eastAsia="宋体"/>
                              <w:sz w:val="28"/>
                              <w:szCs w:val="28"/>
                            </w:rPr>
                            <w:t>—</w:t>
                          </w:r>
                        </w:p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left="210" w:leftChars="100" w:right="210" w:rightChars="100"/>
                      <w:rPr>
                        <w:rStyle w:val="6"/>
                        <w:rFonts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ascii="宋体" w:hAnsi="宋体" w:eastAsia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Style w:val="6"/>
                        <w:rFonts w:ascii="宋体" w:hAnsi="宋体" w:eastAsia="宋体" w:cs="Tahom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 w:eastAsia="宋体" w:cs="Tahoma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6"/>
                        <w:rFonts w:ascii="宋体" w:hAnsi="宋体" w:eastAsia="宋体" w:cs="Tahom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 w:eastAsia="宋体" w:cs="Tahoma"/>
                        <w:sz w:val="28"/>
                        <w:szCs w:val="28"/>
                      </w:rPr>
                      <w:t>6</w:t>
                    </w:r>
                    <w:r>
                      <w:rPr>
                        <w:rStyle w:val="6"/>
                        <w:rFonts w:ascii="宋体" w:hAnsi="宋体" w:eastAsia="宋体" w:cs="Tahom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ascii="宋体" w:hAnsi="宋体" w:eastAsia="宋体" w:cs="Tahom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ascii="宋体" w:hAnsi="宋体" w:eastAsia="宋体"/>
                        <w:sz w:val="28"/>
                        <w:szCs w:val="28"/>
                      </w:rPr>
                      <w:t>—</w:t>
                    </w:r>
                  </w:p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210" w:leftChars="100"/>
      <w:rPr>
        <w:rStyle w:val="6"/>
        <w:sz w:val="28"/>
        <w:szCs w:val="28"/>
      </w:rPr>
    </w:pPr>
    <w:r>
      <w:rPr>
        <w:rStyle w:val="6"/>
        <w:rFonts w:hint="eastAsia"/>
        <w:sz w:val="28"/>
        <w:szCs w:val="28"/>
      </w:rPr>
      <w:t>－</w:t>
    </w:r>
    <w:r>
      <w:rPr>
        <w:rStyle w:val="6"/>
        <w:rFonts w:ascii="Tahoma" w:hAnsi="Tahoma" w:cs="Tahoma"/>
        <w:sz w:val="28"/>
        <w:szCs w:val="28"/>
      </w:rPr>
      <w:fldChar w:fldCharType="begin"/>
    </w:r>
    <w:r>
      <w:rPr>
        <w:rStyle w:val="6"/>
        <w:rFonts w:ascii="Tahoma" w:hAnsi="Tahoma" w:cs="Tahoma"/>
        <w:sz w:val="28"/>
        <w:szCs w:val="28"/>
      </w:rPr>
      <w:instrText xml:space="preserve"> PAGE </w:instrText>
    </w:r>
    <w:r>
      <w:rPr>
        <w:rStyle w:val="6"/>
        <w:rFonts w:ascii="Tahoma" w:hAnsi="Tahoma" w:cs="Tahoma"/>
        <w:sz w:val="28"/>
        <w:szCs w:val="28"/>
      </w:rPr>
      <w:fldChar w:fldCharType="separate"/>
    </w:r>
    <w:r>
      <w:rPr>
        <w:rStyle w:val="6"/>
        <w:rFonts w:hint="eastAsia" w:ascii="Tahoma" w:hAnsi="Tahoma" w:cs="Tahoma"/>
        <w:sz w:val="28"/>
        <w:szCs w:val="28"/>
      </w:rPr>
      <w:t>３</w:t>
    </w:r>
    <w:r>
      <w:rPr>
        <w:rStyle w:val="6"/>
        <w:rFonts w:ascii="Tahoma" w:hAnsi="Tahoma" w:cs="Tahoma"/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>－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true"/>
  <w:bordersDoNotSurroundFooter w:val="true"/>
  <w:revisionView w:markup="0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FD7"/>
    <w:rsid w:val="00040F1C"/>
    <w:rsid w:val="00061F49"/>
    <w:rsid w:val="00065DB3"/>
    <w:rsid w:val="000826B8"/>
    <w:rsid w:val="000968D0"/>
    <w:rsid w:val="000E1B47"/>
    <w:rsid w:val="000F4EAF"/>
    <w:rsid w:val="000F5BED"/>
    <w:rsid w:val="00102457"/>
    <w:rsid w:val="00110A9D"/>
    <w:rsid w:val="00114E60"/>
    <w:rsid w:val="00124D7F"/>
    <w:rsid w:val="00125CBC"/>
    <w:rsid w:val="00125FF2"/>
    <w:rsid w:val="00130E6C"/>
    <w:rsid w:val="00153DDF"/>
    <w:rsid w:val="00192FA5"/>
    <w:rsid w:val="001A1914"/>
    <w:rsid w:val="0021218C"/>
    <w:rsid w:val="00226C9B"/>
    <w:rsid w:val="00230FF0"/>
    <w:rsid w:val="0024484C"/>
    <w:rsid w:val="002530FC"/>
    <w:rsid w:val="002C5B74"/>
    <w:rsid w:val="002E4C23"/>
    <w:rsid w:val="002E58B8"/>
    <w:rsid w:val="002F7D6D"/>
    <w:rsid w:val="003073DA"/>
    <w:rsid w:val="003177BB"/>
    <w:rsid w:val="00323112"/>
    <w:rsid w:val="00333305"/>
    <w:rsid w:val="00335C55"/>
    <w:rsid w:val="003424DC"/>
    <w:rsid w:val="00381959"/>
    <w:rsid w:val="003847FD"/>
    <w:rsid w:val="003E0B8E"/>
    <w:rsid w:val="003F4EF4"/>
    <w:rsid w:val="003F5E59"/>
    <w:rsid w:val="004148C0"/>
    <w:rsid w:val="00436F53"/>
    <w:rsid w:val="00445230"/>
    <w:rsid w:val="0044730C"/>
    <w:rsid w:val="004571D1"/>
    <w:rsid w:val="004A1869"/>
    <w:rsid w:val="004B7C50"/>
    <w:rsid w:val="004D3674"/>
    <w:rsid w:val="004E26E9"/>
    <w:rsid w:val="004F1468"/>
    <w:rsid w:val="005032DC"/>
    <w:rsid w:val="0054021E"/>
    <w:rsid w:val="00563D81"/>
    <w:rsid w:val="005653EC"/>
    <w:rsid w:val="00565EE4"/>
    <w:rsid w:val="005804A9"/>
    <w:rsid w:val="005920E7"/>
    <w:rsid w:val="005958F6"/>
    <w:rsid w:val="00597D74"/>
    <w:rsid w:val="005B4235"/>
    <w:rsid w:val="005D020E"/>
    <w:rsid w:val="005D59A1"/>
    <w:rsid w:val="006048B4"/>
    <w:rsid w:val="0061572F"/>
    <w:rsid w:val="00626F69"/>
    <w:rsid w:val="006460E1"/>
    <w:rsid w:val="006716A1"/>
    <w:rsid w:val="006740AD"/>
    <w:rsid w:val="006A416B"/>
    <w:rsid w:val="006C366F"/>
    <w:rsid w:val="006C7D6F"/>
    <w:rsid w:val="006D056D"/>
    <w:rsid w:val="006D2087"/>
    <w:rsid w:val="006F0C45"/>
    <w:rsid w:val="006F376C"/>
    <w:rsid w:val="0070584B"/>
    <w:rsid w:val="00713D94"/>
    <w:rsid w:val="007220C0"/>
    <w:rsid w:val="00735DDA"/>
    <w:rsid w:val="0076187F"/>
    <w:rsid w:val="00772479"/>
    <w:rsid w:val="00774D09"/>
    <w:rsid w:val="007A34D2"/>
    <w:rsid w:val="007B0EF3"/>
    <w:rsid w:val="007B6505"/>
    <w:rsid w:val="007F324A"/>
    <w:rsid w:val="007F7B83"/>
    <w:rsid w:val="00821832"/>
    <w:rsid w:val="0082491C"/>
    <w:rsid w:val="00831F09"/>
    <w:rsid w:val="00866CC3"/>
    <w:rsid w:val="00890239"/>
    <w:rsid w:val="00897F62"/>
    <w:rsid w:val="008A71E7"/>
    <w:rsid w:val="008B5C48"/>
    <w:rsid w:val="008E3C08"/>
    <w:rsid w:val="008E55AC"/>
    <w:rsid w:val="008F277D"/>
    <w:rsid w:val="00906B91"/>
    <w:rsid w:val="00914BE1"/>
    <w:rsid w:val="00951AF1"/>
    <w:rsid w:val="00960C4D"/>
    <w:rsid w:val="0096230B"/>
    <w:rsid w:val="00966D65"/>
    <w:rsid w:val="009671DC"/>
    <w:rsid w:val="009A1407"/>
    <w:rsid w:val="009C5661"/>
    <w:rsid w:val="009D7107"/>
    <w:rsid w:val="00A072DD"/>
    <w:rsid w:val="00A1238F"/>
    <w:rsid w:val="00A42740"/>
    <w:rsid w:val="00A435DF"/>
    <w:rsid w:val="00A60519"/>
    <w:rsid w:val="00A63EE5"/>
    <w:rsid w:val="00A74AC5"/>
    <w:rsid w:val="00A7746D"/>
    <w:rsid w:val="00A93BDE"/>
    <w:rsid w:val="00A95160"/>
    <w:rsid w:val="00A97A25"/>
    <w:rsid w:val="00AB24AC"/>
    <w:rsid w:val="00AB567F"/>
    <w:rsid w:val="00AD279B"/>
    <w:rsid w:val="00AF1488"/>
    <w:rsid w:val="00AF4E88"/>
    <w:rsid w:val="00B07635"/>
    <w:rsid w:val="00B13085"/>
    <w:rsid w:val="00B13BC6"/>
    <w:rsid w:val="00B213BE"/>
    <w:rsid w:val="00B43B91"/>
    <w:rsid w:val="00B4639A"/>
    <w:rsid w:val="00B56882"/>
    <w:rsid w:val="00B60037"/>
    <w:rsid w:val="00B66F9D"/>
    <w:rsid w:val="00BA1B9A"/>
    <w:rsid w:val="00BA4843"/>
    <w:rsid w:val="00BA5364"/>
    <w:rsid w:val="00BC3249"/>
    <w:rsid w:val="00BC684E"/>
    <w:rsid w:val="00BE4889"/>
    <w:rsid w:val="00C56E1E"/>
    <w:rsid w:val="00C65D15"/>
    <w:rsid w:val="00C7065C"/>
    <w:rsid w:val="00C772CB"/>
    <w:rsid w:val="00CA4E5A"/>
    <w:rsid w:val="00CC0EB5"/>
    <w:rsid w:val="00CC4494"/>
    <w:rsid w:val="00CE76A3"/>
    <w:rsid w:val="00D3115E"/>
    <w:rsid w:val="00D67E6F"/>
    <w:rsid w:val="00D73424"/>
    <w:rsid w:val="00D922A9"/>
    <w:rsid w:val="00DA3146"/>
    <w:rsid w:val="00DA4155"/>
    <w:rsid w:val="00DA71D6"/>
    <w:rsid w:val="00DB3632"/>
    <w:rsid w:val="00DB6EE6"/>
    <w:rsid w:val="00DC44C0"/>
    <w:rsid w:val="00DD073B"/>
    <w:rsid w:val="00DD141E"/>
    <w:rsid w:val="00DD7FD7"/>
    <w:rsid w:val="00DE57DE"/>
    <w:rsid w:val="00E12C7B"/>
    <w:rsid w:val="00E23694"/>
    <w:rsid w:val="00E23AE0"/>
    <w:rsid w:val="00E558BD"/>
    <w:rsid w:val="00E5652D"/>
    <w:rsid w:val="00E60AD7"/>
    <w:rsid w:val="00E63EF2"/>
    <w:rsid w:val="00E9221C"/>
    <w:rsid w:val="00E92704"/>
    <w:rsid w:val="00EA13AF"/>
    <w:rsid w:val="00EA54D5"/>
    <w:rsid w:val="00EB1E4A"/>
    <w:rsid w:val="00EC3D9E"/>
    <w:rsid w:val="00ED3318"/>
    <w:rsid w:val="00EE670F"/>
    <w:rsid w:val="00F12913"/>
    <w:rsid w:val="00F14C34"/>
    <w:rsid w:val="00F1537B"/>
    <w:rsid w:val="00F21EBC"/>
    <w:rsid w:val="00F46FE3"/>
    <w:rsid w:val="00F552A3"/>
    <w:rsid w:val="00F56034"/>
    <w:rsid w:val="00F64B3D"/>
    <w:rsid w:val="00F76C44"/>
    <w:rsid w:val="00F84A73"/>
    <w:rsid w:val="00F9457E"/>
    <w:rsid w:val="00F97B6B"/>
    <w:rsid w:val="00FB6255"/>
    <w:rsid w:val="00FB6D49"/>
    <w:rsid w:val="39DB9B8E"/>
    <w:rsid w:val="BFFF52C5"/>
    <w:rsid w:val="C7D7BBCB"/>
    <w:rsid w:val="DEBEC21F"/>
    <w:rsid w:val="DF9F2474"/>
    <w:rsid w:val="FB57F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cs="Times New Roman"/>
    </w:rPr>
  </w:style>
  <w:style w:type="paragraph" w:styleId="7">
    <w:name w:val="List Paragraph"/>
    <w:basedOn w:val="1"/>
    <w:qFormat/>
    <w:uiPriority w:val="34"/>
    <w:pPr>
      <w:ind w:firstLine="420"/>
    </w:p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7</Pages>
  <Words>405</Words>
  <Characters>2313</Characters>
  <Lines>19</Lines>
  <Paragraphs>5</Paragraphs>
  <TotalTime>1</TotalTime>
  <ScaleCrop>false</ScaleCrop>
  <LinksUpToDate>false</LinksUpToDate>
  <CharactersWithSpaces>2713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2021-07-09T13:19:00Z</dcterms:created>
  <dc:creator>20160621-4</dc:creator>
  <cp:lastModifiedBy>刘强</cp:lastModifiedBy>
  <dcterms:modified xsi:type="dcterms:W3CDTF">2021-07-21T17:38:30Z</dcterms:modified>
  <dc:title>附件1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